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C0F9" w14:textId="0551D984" w:rsidR="00865530" w:rsidRPr="00865530" w:rsidRDefault="00D932E6" w:rsidP="0086553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D1F4E35" wp14:editId="7E505104">
            <wp:simplePos x="0" y="0"/>
            <wp:positionH relativeFrom="margin">
              <wp:align>right</wp:align>
            </wp:positionH>
            <wp:positionV relativeFrom="paragraph">
              <wp:posOffset>-417195</wp:posOffset>
            </wp:positionV>
            <wp:extent cx="3810635" cy="1432560"/>
            <wp:effectExtent l="0" t="0" r="0" b="0"/>
            <wp:wrapNone/>
            <wp:docPr id="943900386" name="Picture 4" descr="A black and white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00386" name="Picture 4" descr="A black and white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11FE91" w14:textId="77777777" w:rsidR="002F0CF2" w:rsidRPr="00865530" w:rsidRDefault="002F0CF2" w:rsidP="004A39A4">
      <w:pPr>
        <w:spacing w:after="0"/>
        <w:rPr>
          <w:rFonts w:cstheme="minorHAnsi"/>
          <w:b/>
          <w:bCs/>
        </w:rPr>
      </w:pPr>
    </w:p>
    <w:p w14:paraId="3540E831" w14:textId="77777777" w:rsidR="00865530" w:rsidRPr="00865530" w:rsidRDefault="00865530" w:rsidP="00D932E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D81C4F9" w14:textId="77777777" w:rsidR="005C79C1" w:rsidRDefault="005C79C1" w:rsidP="00D932E6">
      <w:pPr>
        <w:spacing w:after="0"/>
        <w:jc w:val="center"/>
        <w:rPr>
          <w:rFonts w:cstheme="minorHAnsi"/>
          <w:b/>
          <w:bCs/>
          <w:sz w:val="40"/>
          <w:szCs w:val="40"/>
        </w:rPr>
      </w:pPr>
    </w:p>
    <w:p w14:paraId="5AAC3828" w14:textId="77777777" w:rsidR="005C79C1" w:rsidRPr="005C79C1" w:rsidRDefault="005C79C1" w:rsidP="00D932E6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65865EF8" w14:textId="6A41000F" w:rsidR="0083068F" w:rsidRDefault="00810C8C" w:rsidP="00D932E6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D245EF">
        <w:rPr>
          <w:rFonts w:cstheme="minorHAnsi"/>
          <w:b/>
          <w:bCs/>
          <w:sz w:val="40"/>
          <w:szCs w:val="40"/>
        </w:rPr>
        <w:t xml:space="preserve">Pickering </w:t>
      </w:r>
      <w:r w:rsidR="007667F6">
        <w:rPr>
          <w:rFonts w:cstheme="minorHAnsi"/>
          <w:b/>
          <w:bCs/>
          <w:sz w:val="40"/>
          <w:szCs w:val="40"/>
        </w:rPr>
        <w:t>Group</w:t>
      </w:r>
      <w:r w:rsidR="002E7834">
        <w:rPr>
          <w:rFonts w:cstheme="minorHAnsi"/>
          <w:b/>
          <w:bCs/>
          <w:sz w:val="40"/>
          <w:szCs w:val="40"/>
        </w:rPr>
        <w:t xml:space="preserve"> </w:t>
      </w:r>
      <w:r w:rsidRPr="00D245EF">
        <w:rPr>
          <w:rFonts w:cstheme="minorHAnsi"/>
          <w:b/>
          <w:bCs/>
          <w:sz w:val="40"/>
          <w:szCs w:val="40"/>
        </w:rPr>
        <w:t>RoHS</w:t>
      </w:r>
      <w:r w:rsidR="007E6A92">
        <w:rPr>
          <w:rFonts w:cstheme="minorHAnsi"/>
          <w:b/>
          <w:bCs/>
          <w:sz w:val="40"/>
          <w:szCs w:val="40"/>
        </w:rPr>
        <w:t xml:space="preserve"> EU 2015/</w:t>
      </w:r>
      <w:r w:rsidR="00D932E6" w:rsidRPr="00D932E6">
        <w:rPr>
          <w:rFonts w:cstheme="minorHAnsi"/>
          <w:b/>
          <w:bCs/>
          <w:noProof/>
          <w:sz w:val="40"/>
          <w:szCs w:val="40"/>
        </w:rPr>
        <w:t xml:space="preserve"> </w:t>
      </w:r>
      <w:r w:rsidR="007E6A92">
        <w:rPr>
          <w:rFonts w:cstheme="minorHAnsi"/>
          <w:b/>
          <w:bCs/>
          <w:sz w:val="40"/>
          <w:szCs w:val="40"/>
        </w:rPr>
        <w:t>863</w:t>
      </w:r>
      <w:r w:rsidRPr="00D245EF">
        <w:rPr>
          <w:rFonts w:cstheme="minorHAnsi"/>
          <w:b/>
          <w:bCs/>
          <w:sz w:val="40"/>
          <w:szCs w:val="40"/>
        </w:rPr>
        <w:t xml:space="preserve"> </w:t>
      </w:r>
      <w:r w:rsidR="00865530">
        <w:rPr>
          <w:rFonts w:cstheme="minorHAnsi"/>
          <w:b/>
          <w:bCs/>
          <w:sz w:val="40"/>
          <w:szCs w:val="40"/>
        </w:rPr>
        <w:t>S</w:t>
      </w:r>
      <w:r w:rsidR="007E6A92">
        <w:rPr>
          <w:rFonts w:cstheme="minorHAnsi"/>
          <w:b/>
          <w:bCs/>
          <w:sz w:val="40"/>
          <w:szCs w:val="40"/>
        </w:rPr>
        <w:t>tatement</w:t>
      </w:r>
    </w:p>
    <w:p w14:paraId="4B349EFF" w14:textId="77777777" w:rsidR="000D5AB3" w:rsidRPr="005C79C1" w:rsidRDefault="000D5AB3" w:rsidP="000D5AB3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43D9AB10" w14:textId="3AE09D41" w:rsidR="007E6A92" w:rsidRDefault="007E6A92" w:rsidP="007E6A92">
      <w:pPr>
        <w:spacing w:after="0"/>
        <w:rPr>
          <w:rFonts w:cstheme="minorHAnsi"/>
          <w:sz w:val="24"/>
          <w:szCs w:val="24"/>
        </w:rPr>
      </w:pPr>
      <w:r w:rsidRPr="00C66DF8">
        <w:rPr>
          <w:rFonts w:cstheme="minorHAnsi"/>
          <w:sz w:val="24"/>
          <w:szCs w:val="24"/>
        </w:rPr>
        <w:t xml:space="preserve">RoHS 3 (EU 2015/863) </w:t>
      </w:r>
      <w:r w:rsidR="00CA598D">
        <w:rPr>
          <w:rFonts w:cstheme="minorHAnsi"/>
          <w:sz w:val="24"/>
          <w:szCs w:val="24"/>
        </w:rPr>
        <w:t>D</w:t>
      </w:r>
      <w:r w:rsidRPr="00C66DF8">
        <w:rPr>
          <w:rFonts w:cstheme="minorHAnsi"/>
          <w:sz w:val="24"/>
          <w:szCs w:val="24"/>
        </w:rPr>
        <w:t xml:space="preserve">irective </w:t>
      </w:r>
      <w:r w:rsidR="00442765">
        <w:rPr>
          <w:rFonts w:cstheme="minorHAnsi"/>
          <w:sz w:val="24"/>
          <w:szCs w:val="24"/>
        </w:rPr>
        <w:t xml:space="preserve">was </w:t>
      </w:r>
      <w:r w:rsidRPr="00C66DF8">
        <w:rPr>
          <w:rFonts w:cstheme="minorHAnsi"/>
          <w:sz w:val="24"/>
          <w:szCs w:val="24"/>
        </w:rPr>
        <w:t>adopted by the EU legislature and came into full force on 22 of July 2019 with a special provision for medical devices until 2021.</w:t>
      </w:r>
      <w:r w:rsidR="00442765">
        <w:rPr>
          <w:rFonts w:cstheme="minorHAnsi"/>
          <w:sz w:val="24"/>
          <w:szCs w:val="24"/>
        </w:rPr>
        <w:t xml:space="preserve"> </w:t>
      </w:r>
    </w:p>
    <w:p w14:paraId="042B940E" w14:textId="77777777" w:rsidR="005C6787" w:rsidRPr="005C79C1" w:rsidRDefault="005C6787" w:rsidP="007E6A92">
      <w:pPr>
        <w:spacing w:after="0"/>
        <w:rPr>
          <w:rFonts w:cstheme="minorHAnsi"/>
          <w:sz w:val="20"/>
          <w:szCs w:val="20"/>
        </w:rPr>
      </w:pPr>
    </w:p>
    <w:p w14:paraId="01B2C590" w14:textId="6295BBEF" w:rsidR="005C6787" w:rsidRPr="00C66DF8" w:rsidRDefault="005C6787" w:rsidP="007E6A92">
      <w:pPr>
        <w:spacing w:after="0"/>
        <w:rPr>
          <w:rFonts w:cstheme="minorHAnsi"/>
          <w:sz w:val="24"/>
          <w:szCs w:val="24"/>
        </w:rPr>
      </w:pPr>
      <w:r w:rsidRPr="005C6787">
        <w:rPr>
          <w:rFonts w:cstheme="minorHAnsi"/>
          <w:sz w:val="24"/>
          <w:szCs w:val="24"/>
        </w:rPr>
        <w:t>RoHS 2011/65/EU with amendment EU 2015/863 was adopted by the EU legislature and came into full force on 22 of July 2019 with a special provision for medical devices until 2021.  </w:t>
      </w:r>
    </w:p>
    <w:p w14:paraId="10846267" w14:textId="77777777" w:rsidR="007E6A92" w:rsidRPr="005C79C1" w:rsidRDefault="007E6A92" w:rsidP="007E6A92">
      <w:pPr>
        <w:spacing w:after="0"/>
        <w:rPr>
          <w:rFonts w:cstheme="minorHAnsi"/>
          <w:sz w:val="20"/>
          <w:szCs w:val="20"/>
        </w:rPr>
      </w:pPr>
    </w:p>
    <w:p w14:paraId="0EDBDA1B" w14:textId="6674FA8C" w:rsidR="007B2730" w:rsidRDefault="007B2730" w:rsidP="007E6A92">
      <w:pPr>
        <w:spacing w:after="0"/>
        <w:rPr>
          <w:rFonts w:cstheme="minorHAnsi"/>
          <w:sz w:val="24"/>
          <w:szCs w:val="24"/>
        </w:rPr>
      </w:pPr>
      <w:r w:rsidRPr="003121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Details can be found on the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Pr="003121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European Chemical</w:t>
      </w:r>
      <w:r w:rsidR="00EE5E13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</w:t>
      </w:r>
      <w:r w:rsidRPr="003121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Agency website:</w:t>
      </w:r>
      <w:r w:rsidR="0086553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hyperlink r:id="rId8" w:history="1">
        <w:r w:rsidR="00865530" w:rsidRPr="002B0933">
          <w:rPr>
            <w:rStyle w:val="Hyperlink"/>
            <w:rFonts w:eastAsia="Times New Roman" w:cstheme="minorHAnsi"/>
            <w:kern w:val="0"/>
            <w:sz w:val="24"/>
            <w:szCs w:val="24"/>
            <w:lang w:eastAsia="en-GB"/>
            <w14:ligatures w14:val="none"/>
          </w:rPr>
          <w:t>https://echa.europa.eu/legislation-profile/-/legislationprofile/EU-ROHS</w:t>
        </w:r>
      </w:hyperlink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and on the UK </w:t>
      </w:r>
      <w:r w:rsidR="00CA598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Government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website</w:t>
      </w:r>
      <w:r w:rsidRPr="003121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hyperlink r:id="rId9" w:history="1">
        <w:r w:rsidRPr="007B2730">
          <w:rPr>
            <w:rStyle w:val="Hyperlink"/>
            <w:rFonts w:eastAsia="Times New Roman" w:cstheme="minorHAnsi"/>
            <w:kern w:val="0"/>
            <w:sz w:val="24"/>
            <w:szCs w:val="24"/>
            <w:lang w:eastAsia="en-GB"/>
            <w14:ligatures w14:val="none"/>
          </w:rPr>
          <w:t>https://www.gov.uk/guidance/rohs-compliance-and-guidance</w:t>
        </w:r>
      </w:hyperlink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  <w:r w:rsidR="00EE5E13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7268D18" w14:textId="77777777" w:rsidR="007B2730" w:rsidRPr="005C79C1" w:rsidRDefault="007B2730" w:rsidP="007E6A92">
      <w:pPr>
        <w:spacing w:after="0"/>
        <w:rPr>
          <w:rFonts w:cstheme="minorHAnsi"/>
          <w:sz w:val="20"/>
          <w:szCs w:val="20"/>
        </w:rPr>
      </w:pPr>
    </w:p>
    <w:p w14:paraId="5D131DEA" w14:textId="416F6F5A" w:rsidR="005C79C1" w:rsidRDefault="007E6A92" w:rsidP="007B2730">
      <w:pPr>
        <w:shd w:val="clear" w:color="auto" w:fill="FFFFFF"/>
        <w:spacing w:after="0"/>
        <w:rPr>
          <w:color w:val="000000"/>
          <w:sz w:val="24"/>
          <w:szCs w:val="24"/>
        </w:rPr>
      </w:pPr>
      <w:r w:rsidRPr="00C66DF8">
        <w:rPr>
          <w:rFonts w:cstheme="minorHAnsi"/>
          <w:sz w:val="24"/>
          <w:szCs w:val="24"/>
        </w:rPr>
        <w:t xml:space="preserve">The scope of the RoHS </w:t>
      </w:r>
      <w:r w:rsidR="00A11064">
        <w:rPr>
          <w:rFonts w:cstheme="minorHAnsi"/>
          <w:sz w:val="24"/>
          <w:szCs w:val="24"/>
        </w:rPr>
        <w:t>D</w:t>
      </w:r>
      <w:r w:rsidRPr="00C66DF8">
        <w:rPr>
          <w:rFonts w:cstheme="minorHAnsi"/>
          <w:sz w:val="24"/>
          <w:szCs w:val="24"/>
        </w:rPr>
        <w:t xml:space="preserve">irective does not include all EEE; for </w:t>
      </w:r>
      <w:r w:rsidR="00FF4E69" w:rsidRPr="00C66DF8">
        <w:rPr>
          <w:color w:val="000000"/>
          <w:sz w:val="24"/>
          <w:szCs w:val="24"/>
        </w:rPr>
        <w:t>example,</w:t>
      </w:r>
      <w:r w:rsidR="00FF4E69">
        <w:rPr>
          <w:color w:val="000000"/>
          <w:sz w:val="24"/>
          <w:szCs w:val="24"/>
        </w:rPr>
        <w:t xml:space="preserve"> </w:t>
      </w:r>
      <w:r w:rsidR="00A11064">
        <w:rPr>
          <w:color w:val="000000"/>
          <w:sz w:val="24"/>
          <w:szCs w:val="24"/>
        </w:rPr>
        <w:t>but</w:t>
      </w:r>
      <w:r w:rsidRPr="00C66DF8">
        <w:rPr>
          <w:color w:val="000000"/>
          <w:sz w:val="24"/>
          <w:szCs w:val="24"/>
        </w:rPr>
        <w:t xml:space="preserve"> not limited to</w:t>
      </w:r>
      <w:r w:rsidR="00A11064">
        <w:rPr>
          <w:color w:val="000000"/>
          <w:sz w:val="24"/>
          <w:szCs w:val="24"/>
        </w:rPr>
        <w:t>,</w:t>
      </w:r>
      <w:r w:rsidRPr="00C66DF8">
        <w:rPr>
          <w:color w:val="000000"/>
          <w:sz w:val="24"/>
          <w:szCs w:val="24"/>
        </w:rPr>
        <w:t xml:space="preserve"> the following:</w:t>
      </w:r>
    </w:p>
    <w:p w14:paraId="6ECB07E3" w14:textId="137DA0F9" w:rsidR="00F121F8" w:rsidRPr="00F121F8" w:rsidRDefault="00F121F8" w:rsidP="005C79C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 w:rsidRPr="008C0241">
        <w:rPr>
          <w:rFonts w:asciiTheme="minorHAnsi" w:hAnsiTheme="minorHAnsi" w:cstheme="minorHAnsi"/>
          <w:color w:val="0B0C0C"/>
        </w:rPr>
        <w:t xml:space="preserve">Any application outside of the EU </w:t>
      </w:r>
      <w:r w:rsidRPr="00FD2B16">
        <w:rPr>
          <w:rFonts w:asciiTheme="minorHAnsi" w:hAnsiTheme="minorHAnsi" w:cstheme="minorHAnsi"/>
        </w:rPr>
        <w:t>when placed on the market.</w:t>
      </w:r>
    </w:p>
    <w:p w14:paraId="2F803928" w14:textId="33423D98" w:rsidR="008C0241" w:rsidRPr="008C0241" w:rsidRDefault="008C0241" w:rsidP="008C024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B0C0C"/>
        </w:rPr>
      </w:pPr>
      <w:r w:rsidRPr="008C0241">
        <w:rPr>
          <w:rFonts w:asciiTheme="minorHAnsi" w:hAnsiTheme="minorHAnsi" w:cstheme="minorHAnsi"/>
          <w:color w:val="0B0C0C"/>
        </w:rPr>
        <w:t>Large</w:t>
      </w:r>
      <w:r w:rsidRPr="008C0241">
        <w:rPr>
          <w:rFonts w:asciiTheme="minorHAnsi" w:hAnsiTheme="minorHAnsi" w:cstheme="minorHAnsi"/>
          <w:color w:val="0B0C0C"/>
        </w:rPr>
        <w:noBreakHyphen/>
        <w:t>scale stationary industrial tools - permanently installed industrial systems too large or complex to move as a single unit.</w:t>
      </w:r>
    </w:p>
    <w:p w14:paraId="651D70F8" w14:textId="77777777" w:rsidR="008C0241" w:rsidRPr="008C0241" w:rsidRDefault="008C0241" w:rsidP="008C024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B0C0C"/>
        </w:rPr>
      </w:pPr>
      <w:r w:rsidRPr="008C0241">
        <w:rPr>
          <w:rFonts w:asciiTheme="minorHAnsi" w:hAnsiTheme="minorHAnsi" w:cstheme="minorHAnsi"/>
          <w:color w:val="0B0C0C"/>
        </w:rPr>
        <w:t>Large</w:t>
      </w:r>
      <w:r w:rsidRPr="008C0241">
        <w:rPr>
          <w:rFonts w:asciiTheme="minorHAnsi" w:hAnsiTheme="minorHAnsi" w:cstheme="minorHAnsi"/>
          <w:color w:val="0B0C0C"/>
        </w:rPr>
        <w:noBreakHyphen/>
        <w:t>scale fixed installations - building &amp; integrated systems such as HVAC, lifts, or industrial plant machinery.</w:t>
      </w:r>
    </w:p>
    <w:p w14:paraId="3583D833" w14:textId="77777777" w:rsidR="008C0241" w:rsidRPr="008C0241" w:rsidRDefault="008C0241" w:rsidP="008C024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B0C0C"/>
        </w:rPr>
      </w:pPr>
      <w:r w:rsidRPr="008C0241">
        <w:rPr>
          <w:rFonts w:asciiTheme="minorHAnsi" w:hAnsiTheme="minorHAnsi" w:cstheme="minorHAnsi"/>
          <w:color w:val="0B0C0C"/>
        </w:rPr>
        <w:t xml:space="preserve">Equipment for military use or national security </w:t>
      </w:r>
    </w:p>
    <w:p w14:paraId="1E09EAE8" w14:textId="77777777" w:rsidR="008C0241" w:rsidRPr="008C0241" w:rsidRDefault="008C0241" w:rsidP="008C024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B0C0C"/>
        </w:rPr>
      </w:pPr>
      <w:r w:rsidRPr="008C0241">
        <w:rPr>
          <w:rFonts w:asciiTheme="minorHAnsi" w:hAnsiTheme="minorHAnsi" w:cstheme="minorHAnsi"/>
          <w:color w:val="0B0C0C"/>
        </w:rPr>
        <w:t>Space equipment - satellites and related systems.</w:t>
      </w:r>
    </w:p>
    <w:p w14:paraId="04971969" w14:textId="77777777" w:rsidR="008C0241" w:rsidRPr="008C0241" w:rsidRDefault="008C0241" w:rsidP="008C024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B0C0C"/>
        </w:rPr>
      </w:pPr>
      <w:r w:rsidRPr="008C0241">
        <w:rPr>
          <w:rFonts w:asciiTheme="minorHAnsi" w:hAnsiTheme="minorHAnsi" w:cstheme="minorHAnsi"/>
          <w:color w:val="0B0C0C"/>
        </w:rPr>
        <w:t>Expanding existing capacity which was in place before the relevant RoHS exemption came into force</w:t>
      </w:r>
    </w:p>
    <w:p w14:paraId="20A0EC84" w14:textId="0E71AE0B" w:rsidR="00C618D1" w:rsidRDefault="00C618D1" w:rsidP="00C618D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color w:val="0B0C0C"/>
        </w:rPr>
      </w:pPr>
      <w:r w:rsidRPr="008C0241">
        <w:rPr>
          <w:rFonts w:asciiTheme="minorHAnsi" w:hAnsiTheme="minorHAnsi" w:cstheme="minorHAnsi"/>
          <w:color w:val="0B0C0C"/>
        </w:rPr>
        <w:t xml:space="preserve">Service </w:t>
      </w:r>
      <w:r>
        <w:rPr>
          <w:rFonts w:asciiTheme="minorHAnsi" w:hAnsiTheme="minorHAnsi" w:cstheme="minorHAnsi"/>
          <w:color w:val="0B0C0C"/>
        </w:rPr>
        <w:t>r</w:t>
      </w:r>
      <w:r w:rsidRPr="008C0241">
        <w:rPr>
          <w:rFonts w:asciiTheme="minorHAnsi" w:hAnsiTheme="minorHAnsi" w:cstheme="minorHAnsi"/>
          <w:color w:val="0B0C0C"/>
        </w:rPr>
        <w:t>eplacements</w:t>
      </w:r>
      <w:r>
        <w:rPr>
          <w:rFonts w:asciiTheme="minorHAnsi" w:hAnsiTheme="minorHAnsi" w:cstheme="minorHAnsi"/>
          <w:color w:val="0B0C0C"/>
        </w:rPr>
        <w:t xml:space="preserve"> / spares for capacity that was placed on the market before July 1</w:t>
      </w:r>
      <w:r w:rsidRPr="00C618D1">
        <w:rPr>
          <w:rFonts w:asciiTheme="minorHAnsi" w:hAnsiTheme="minorHAnsi" w:cstheme="minorHAnsi"/>
          <w:color w:val="0B0C0C"/>
          <w:vertAlign w:val="superscript"/>
        </w:rPr>
        <w:t>st</w:t>
      </w:r>
      <w:r>
        <w:rPr>
          <w:rFonts w:asciiTheme="minorHAnsi" w:hAnsiTheme="minorHAnsi" w:cstheme="minorHAnsi"/>
          <w:color w:val="0B0C0C"/>
        </w:rPr>
        <w:t>, 2006.</w:t>
      </w:r>
    </w:p>
    <w:p w14:paraId="18A32EA9" w14:textId="73B985C6" w:rsidR="00C618D1" w:rsidRDefault="00C618D1" w:rsidP="005C79C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>
        <w:rPr>
          <w:rFonts w:asciiTheme="minorHAnsi" w:hAnsiTheme="minorHAnsi" w:cstheme="minorHAnsi"/>
          <w:color w:val="0B0C0C"/>
        </w:rPr>
        <w:t>For capacity that was placed on the market after July 2006, the service replacements / spares need to comply to the relevant restrictions / exemptions that were in force at that time.</w:t>
      </w:r>
    </w:p>
    <w:p w14:paraId="5C98F865" w14:textId="77777777" w:rsidR="005C79C1" w:rsidRPr="005C79C1" w:rsidRDefault="005C79C1" w:rsidP="005C79C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B0C0C"/>
          <w:sz w:val="20"/>
          <w:szCs w:val="20"/>
        </w:rPr>
      </w:pPr>
    </w:p>
    <w:p w14:paraId="544BA751" w14:textId="7CBF7AFB" w:rsidR="007B2730" w:rsidRDefault="007E6A92" w:rsidP="00D932E6">
      <w:pPr>
        <w:spacing w:after="0"/>
        <w:rPr>
          <w:rFonts w:cstheme="minorHAnsi"/>
          <w:sz w:val="24"/>
          <w:szCs w:val="24"/>
        </w:rPr>
      </w:pPr>
      <w:r w:rsidRPr="00C66DF8">
        <w:rPr>
          <w:rFonts w:cstheme="minorHAnsi"/>
          <w:sz w:val="24"/>
          <w:szCs w:val="24"/>
        </w:rPr>
        <w:t>The main aims of RoHS</w:t>
      </w:r>
      <w:r w:rsidR="007B2730">
        <w:rPr>
          <w:rFonts w:cstheme="minorHAnsi"/>
          <w:sz w:val="24"/>
          <w:szCs w:val="24"/>
        </w:rPr>
        <w:t xml:space="preserve"> are to:</w:t>
      </w:r>
    </w:p>
    <w:p w14:paraId="6B920B00" w14:textId="4FB3D50D" w:rsidR="007B2730" w:rsidRDefault="007B2730" w:rsidP="00D932E6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7B2730">
        <w:rPr>
          <w:rFonts w:cstheme="minorHAnsi"/>
          <w:sz w:val="24"/>
          <w:szCs w:val="24"/>
        </w:rPr>
        <w:t xml:space="preserve">liminate the risks posed to human health and the environment through the management of electronic and electrical </w:t>
      </w:r>
      <w:r w:rsidR="00EE5E13" w:rsidRPr="007B2730">
        <w:rPr>
          <w:rFonts w:cstheme="minorHAnsi"/>
          <w:sz w:val="24"/>
          <w:szCs w:val="24"/>
        </w:rPr>
        <w:t>waste.</w:t>
      </w:r>
    </w:p>
    <w:p w14:paraId="3AC60544" w14:textId="65584038" w:rsidR="007B2730" w:rsidRPr="007B2730" w:rsidRDefault="007B2730" w:rsidP="007B2730">
      <w:pPr>
        <w:pStyle w:val="ListParagraph"/>
        <w:numPr>
          <w:ilvl w:val="0"/>
          <w:numId w:val="7"/>
        </w:numPr>
        <w:spacing w:after="0"/>
        <w:rPr>
          <w:rStyle w:val="ui-provider"/>
          <w:rFonts w:cstheme="minorHAnsi"/>
          <w:sz w:val="24"/>
          <w:szCs w:val="24"/>
        </w:rPr>
      </w:pPr>
      <w:r>
        <w:rPr>
          <w:rStyle w:val="ui-provider"/>
          <w:sz w:val="24"/>
          <w:szCs w:val="24"/>
        </w:rPr>
        <w:t>R</w:t>
      </w:r>
      <w:r w:rsidRPr="007B2730">
        <w:rPr>
          <w:rStyle w:val="ui-provider"/>
          <w:sz w:val="24"/>
          <w:szCs w:val="24"/>
        </w:rPr>
        <w:t>estrict</w:t>
      </w:r>
      <w:r w:rsidR="005F0F89">
        <w:rPr>
          <w:rStyle w:val="ui-provider"/>
          <w:sz w:val="24"/>
          <w:szCs w:val="24"/>
        </w:rPr>
        <w:t xml:space="preserve"> </w:t>
      </w:r>
      <w:r w:rsidRPr="007B2730">
        <w:rPr>
          <w:rStyle w:val="ui-provider"/>
          <w:sz w:val="24"/>
          <w:szCs w:val="24"/>
        </w:rPr>
        <w:t xml:space="preserve">the use of certain hazardous substances in EEE that can be substituted </w:t>
      </w:r>
      <w:r w:rsidR="00B34DF2">
        <w:rPr>
          <w:rStyle w:val="ui-provider"/>
          <w:sz w:val="24"/>
          <w:szCs w:val="24"/>
        </w:rPr>
        <w:t>with</w:t>
      </w:r>
      <w:r w:rsidRPr="007B2730">
        <w:rPr>
          <w:rStyle w:val="ui-provider"/>
          <w:sz w:val="24"/>
          <w:szCs w:val="24"/>
        </w:rPr>
        <w:t xml:space="preserve"> safer alternatives. </w:t>
      </w:r>
    </w:p>
    <w:p w14:paraId="467AE249" w14:textId="77777777" w:rsidR="007B2730" w:rsidRPr="005C79C1" w:rsidRDefault="007B2730" w:rsidP="007B2730">
      <w:pPr>
        <w:spacing w:after="0"/>
        <w:rPr>
          <w:rFonts w:cstheme="minorHAnsi"/>
          <w:sz w:val="20"/>
          <w:szCs w:val="20"/>
        </w:rPr>
      </w:pPr>
    </w:p>
    <w:p w14:paraId="0CDD4C49" w14:textId="183DE10D" w:rsidR="00DB0087" w:rsidRPr="00C66DF8" w:rsidRDefault="000D5AB3" w:rsidP="007B273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66DF8">
        <w:rPr>
          <w:rFonts w:asciiTheme="minorHAnsi" w:hAnsiTheme="minorHAnsi" w:cstheme="minorHAnsi"/>
        </w:rPr>
        <w:t>Pickering</w:t>
      </w:r>
      <w:r w:rsidR="00DB0087" w:rsidRPr="00C66DF8">
        <w:rPr>
          <w:rFonts w:asciiTheme="minorHAnsi" w:hAnsiTheme="minorHAnsi" w:cstheme="minorHAnsi"/>
        </w:rPr>
        <w:t xml:space="preserve"> </w:t>
      </w:r>
      <w:r w:rsidR="007667F6">
        <w:rPr>
          <w:rFonts w:asciiTheme="minorHAnsi" w:hAnsiTheme="minorHAnsi" w:cstheme="minorHAnsi"/>
        </w:rPr>
        <w:t>Group</w:t>
      </w:r>
      <w:r w:rsidRPr="00C66DF8">
        <w:rPr>
          <w:rFonts w:asciiTheme="minorHAnsi" w:hAnsiTheme="minorHAnsi" w:cstheme="minorHAnsi"/>
        </w:rPr>
        <w:t xml:space="preserve"> sells on the understanding </w:t>
      </w:r>
      <w:r w:rsidR="005F0F89">
        <w:rPr>
          <w:rFonts w:asciiTheme="minorHAnsi" w:hAnsiTheme="minorHAnsi" w:cstheme="minorHAnsi"/>
        </w:rPr>
        <w:t xml:space="preserve">that </w:t>
      </w:r>
      <w:r w:rsidRPr="00C66DF8">
        <w:rPr>
          <w:rFonts w:asciiTheme="minorHAnsi" w:hAnsiTheme="minorHAnsi" w:cstheme="minorHAnsi"/>
        </w:rPr>
        <w:t xml:space="preserve">the customer will </w:t>
      </w:r>
      <w:r w:rsidR="00A11064">
        <w:rPr>
          <w:rFonts w:asciiTheme="minorHAnsi" w:hAnsiTheme="minorHAnsi" w:cstheme="minorHAnsi"/>
        </w:rPr>
        <w:t xml:space="preserve">exercise </w:t>
      </w:r>
      <w:r w:rsidRPr="00C66DF8">
        <w:rPr>
          <w:rFonts w:asciiTheme="minorHAnsi" w:hAnsiTheme="minorHAnsi" w:cstheme="minorHAnsi"/>
        </w:rPr>
        <w:t>appropriate due diligence to ensure its products are placed on the market within the scope of the</w:t>
      </w:r>
      <w:r w:rsidR="003273F6" w:rsidRPr="00C66DF8">
        <w:rPr>
          <w:rFonts w:asciiTheme="minorHAnsi" w:hAnsiTheme="minorHAnsi" w:cstheme="minorHAnsi"/>
        </w:rPr>
        <w:t xml:space="preserve"> EU</w:t>
      </w:r>
      <w:r w:rsidRPr="00C66DF8">
        <w:rPr>
          <w:rFonts w:asciiTheme="minorHAnsi" w:hAnsiTheme="minorHAnsi" w:cstheme="minorHAnsi"/>
        </w:rPr>
        <w:t xml:space="preserve"> RoHS </w:t>
      </w:r>
      <w:r w:rsidR="00C7447F">
        <w:rPr>
          <w:rFonts w:asciiTheme="minorHAnsi" w:hAnsiTheme="minorHAnsi" w:cstheme="minorHAnsi"/>
        </w:rPr>
        <w:t>D</w:t>
      </w:r>
      <w:r w:rsidRPr="00C66DF8">
        <w:rPr>
          <w:rFonts w:asciiTheme="minorHAnsi" w:hAnsiTheme="minorHAnsi" w:cstheme="minorHAnsi"/>
        </w:rPr>
        <w:t>irective.</w:t>
      </w:r>
    </w:p>
    <w:p w14:paraId="23CC02A1" w14:textId="77777777" w:rsidR="0002325E" w:rsidRPr="00865530" w:rsidRDefault="0002325E" w:rsidP="00DB0087">
      <w:pPr>
        <w:spacing w:after="0"/>
        <w:rPr>
          <w:rFonts w:cstheme="minorHAnsi"/>
          <w:sz w:val="20"/>
          <w:szCs w:val="20"/>
        </w:rPr>
      </w:pPr>
    </w:p>
    <w:p w14:paraId="28D368A4" w14:textId="1703B365" w:rsidR="0002325E" w:rsidRDefault="004E4252" w:rsidP="00DB008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</w:t>
      </w:r>
      <w:r w:rsidR="006A75CB" w:rsidRPr="00C66DF8">
        <w:rPr>
          <w:rFonts w:cstheme="minorHAnsi"/>
          <w:sz w:val="24"/>
          <w:szCs w:val="24"/>
        </w:rPr>
        <w:t xml:space="preserve"> products fall under </w:t>
      </w:r>
      <w:r w:rsidR="00CA598D" w:rsidRPr="00CA598D">
        <w:rPr>
          <w:rFonts w:cstheme="minorHAnsi"/>
          <w:sz w:val="24"/>
          <w:szCs w:val="24"/>
        </w:rPr>
        <w:t>Category 9: Monitoring and Control Equipment</w:t>
      </w:r>
      <w:r w:rsidR="00CA598D">
        <w:rPr>
          <w:rFonts w:cstheme="minorHAnsi"/>
          <w:sz w:val="24"/>
          <w:szCs w:val="24"/>
        </w:rPr>
        <w:t>.</w:t>
      </w:r>
    </w:p>
    <w:p w14:paraId="670CC90A" w14:textId="77777777" w:rsidR="007B2730" w:rsidRPr="00865530" w:rsidRDefault="007B2730" w:rsidP="00DB0087">
      <w:pPr>
        <w:spacing w:after="0"/>
        <w:rPr>
          <w:rFonts w:cstheme="minorHAnsi"/>
          <w:sz w:val="20"/>
          <w:szCs w:val="20"/>
        </w:rPr>
      </w:pPr>
    </w:p>
    <w:p w14:paraId="7E9746A2" w14:textId="1294F9F2" w:rsidR="00851716" w:rsidRPr="00C66DF8" w:rsidRDefault="007B2730" w:rsidP="00D932E6">
      <w:pPr>
        <w:spacing w:after="0"/>
        <w:rPr>
          <w:rFonts w:cstheme="minorHAnsi"/>
          <w:sz w:val="24"/>
          <w:szCs w:val="24"/>
        </w:rPr>
      </w:pPr>
      <w:r w:rsidRPr="0031219D">
        <w:rPr>
          <w:rFonts w:cstheme="minorHAnsi"/>
          <w:sz w:val="24"/>
          <w:szCs w:val="24"/>
        </w:rPr>
        <w:t>Pickering Group actively evaluates its supply chain and will update its declaration to reflect any changes required for continued compliance</w:t>
      </w:r>
      <w:bookmarkStart w:id="0" w:name="_Hlk171342214"/>
      <w:r w:rsidR="00442765">
        <w:rPr>
          <w:rFonts w:cstheme="minorHAnsi"/>
          <w:sz w:val="24"/>
          <w:szCs w:val="24"/>
        </w:rPr>
        <w:t>.</w:t>
      </w:r>
      <w:r w:rsidR="00D932E6">
        <w:rPr>
          <w:rFonts w:cstheme="minorHAnsi"/>
          <w:sz w:val="24"/>
          <w:szCs w:val="24"/>
        </w:rPr>
        <w:t xml:space="preserve"> </w:t>
      </w:r>
      <w:r w:rsidR="00442765">
        <w:rPr>
          <w:rFonts w:cstheme="minorHAnsi"/>
          <w:sz w:val="24"/>
          <w:szCs w:val="24"/>
        </w:rPr>
        <w:t>O</w:t>
      </w:r>
      <w:r w:rsidR="003273F6" w:rsidRPr="00C66DF8">
        <w:rPr>
          <w:rFonts w:cstheme="minorHAnsi"/>
          <w:sz w:val="24"/>
          <w:szCs w:val="24"/>
        </w:rPr>
        <w:t>nly RoHS</w:t>
      </w:r>
      <w:r w:rsidR="00B34DF2">
        <w:rPr>
          <w:rFonts w:cstheme="minorHAnsi"/>
          <w:sz w:val="24"/>
          <w:szCs w:val="24"/>
        </w:rPr>
        <w:t>-</w:t>
      </w:r>
      <w:r w:rsidR="003273F6" w:rsidRPr="00C66DF8">
        <w:rPr>
          <w:rFonts w:cstheme="minorHAnsi"/>
          <w:sz w:val="24"/>
          <w:szCs w:val="24"/>
        </w:rPr>
        <w:t>compliant materials</w:t>
      </w:r>
      <w:r w:rsidR="007A036C">
        <w:rPr>
          <w:rFonts w:cstheme="minorHAnsi"/>
          <w:sz w:val="24"/>
          <w:szCs w:val="24"/>
        </w:rPr>
        <w:t xml:space="preserve"> are purchased</w:t>
      </w:r>
      <w:r w:rsidR="003273F6" w:rsidRPr="00C66DF8">
        <w:rPr>
          <w:rFonts w:cstheme="minorHAnsi"/>
          <w:sz w:val="24"/>
          <w:szCs w:val="24"/>
        </w:rPr>
        <w:t xml:space="preserve"> from approved suppliers</w:t>
      </w:r>
      <w:r w:rsidR="007E6A92" w:rsidRPr="00C66DF8">
        <w:rPr>
          <w:rFonts w:cstheme="minorHAnsi"/>
          <w:sz w:val="24"/>
          <w:szCs w:val="24"/>
        </w:rPr>
        <w:t xml:space="preserve"> who take steps to ensure the supply chain is compliant.</w:t>
      </w:r>
    </w:p>
    <w:bookmarkEnd w:id="0"/>
    <w:p w14:paraId="341CE2B3" w14:textId="77777777" w:rsidR="00DB0087" w:rsidRPr="00865530" w:rsidRDefault="00DB0087" w:rsidP="000D5AB3">
      <w:pPr>
        <w:spacing w:after="0"/>
        <w:rPr>
          <w:rFonts w:cstheme="minorHAnsi"/>
          <w:b/>
          <w:bCs/>
          <w:sz w:val="20"/>
          <w:szCs w:val="20"/>
        </w:rPr>
      </w:pPr>
    </w:p>
    <w:p w14:paraId="4F93056A" w14:textId="706B0090" w:rsidR="008F5ADF" w:rsidRDefault="0063258F" w:rsidP="000D5AB3">
      <w:pPr>
        <w:spacing w:after="0"/>
        <w:rPr>
          <w:rFonts w:cstheme="minorHAnsi"/>
          <w:sz w:val="24"/>
          <w:szCs w:val="24"/>
        </w:rPr>
      </w:pPr>
      <w:r w:rsidRPr="00FD2B16">
        <w:rPr>
          <w:rFonts w:cstheme="minorHAnsi"/>
          <w:sz w:val="24"/>
          <w:szCs w:val="24"/>
        </w:rPr>
        <w:t xml:space="preserve">At the point of sale, </w:t>
      </w:r>
      <w:r w:rsidR="002D1A30">
        <w:rPr>
          <w:rFonts w:cstheme="minorHAnsi"/>
          <w:sz w:val="24"/>
          <w:szCs w:val="24"/>
        </w:rPr>
        <w:t>t</w:t>
      </w:r>
      <w:r w:rsidR="00810C8C" w:rsidRPr="00C66DF8">
        <w:rPr>
          <w:rFonts w:cstheme="minorHAnsi"/>
          <w:sz w:val="24"/>
          <w:szCs w:val="24"/>
        </w:rPr>
        <w:t>o the best of</w:t>
      </w:r>
      <w:r w:rsidR="009F17D7" w:rsidRPr="00C66DF8">
        <w:rPr>
          <w:rFonts w:cstheme="minorHAnsi"/>
          <w:sz w:val="24"/>
          <w:szCs w:val="24"/>
        </w:rPr>
        <w:t xml:space="preserve"> our</w:t>
      </w:r>
      <w:r w:rsidR="00810C8C" w:rsidRPr="00C66DF8">
        <w:rPr>
          <w:rFonts w:cstheme="minorHAnsi"/>
          <w:sz w:val="24"/>
          <w:szCs w:val="24"/>
        </w:rPr>
        <w:t xml:space="preserve"> knowledge</w:t>
      </w:r>
      <w:r w:rsidR="006973C7">
        <w:rPr>
          <w:rFonts w:cstheme="minorHAnsi"/>
          <w:sz w:val="24"/>
          <w:szCs w:val="24"/>
        </w:rPr>
        <w:t>,</w:t>
      </w:r>
      <w:r w:rsidR="00810C8C" w:rsidRPr="00C66DF8">
        <w:rPr>
          <w:rFonts w:cstheme="minorHAnsi"/>
          <w:sz w:val="24"/>
          <w:szCs w:val="24"/>
        </w:rPr>
        <w:t xml:space="preserve"> </w:t>
      </w:r>
      <w:r w:rsidR="00DB0087" w:rsidRPr="00C66DF8">
        <w:rPr>
          <w:rFonts w:cstheme="minorHAnsi"/>
          <w:sz w:val="24"/>
          <w:szCs w:val="24"/>
        </w:rPr>
        <w:t xml:space="preserve">Pickering </w:t>
      </w:r>
      <w:r w:rsidR="007667F6">
        <w:rPr>
          <w:rFonts w:cstheme="minorHAnsi"/>
          <w:sz w:val="24"/>
          <w:szCs w:val="24"/>
        </w:rPr>
        <w:t>Group</w:t>
      </w:r>
      <w:r w:rsidR="00DB0087" w:rsidRPr="00C66DF8">
        <w:rPr>
          <w:rFonts w:cstheme="minorHAnsi"/>
          <w:sz w:val="24"/>
          <w:szCs w:val="24"/>
        </w:rPr>
        <w:t xml:space="preserve"> </w:t>
      </w:r>
      <w:r w:rsidR="00810C8C" w:rsidRPr="00C66DF8">
        <w:rPr>
          <w:rFonts w:cstheme="minorHAnsi"/>
          <w:sz w:val="24"/>
          <w:szCs w:val="24"/>
        </w:rPr>
        <w:t>products do not contain any of the restricted substances in concentration</w:t>
      </w:r>
      <w:r w:rsidR="00B34DF2">
        <w:rPr>
          <w:rFonts w:cstheme="minorHAnsi"/>
          <w:sz w:val="24"/>
          <w:szCs w:val="24"/>
        </w:rPr>
        <w:t>s</w:t>
      </w:r>
      <w:r w:rsidR="00810C8C" w:rsidRPr="00C66DF8">
        <w:rPr>
          <w:rFonts w:cstheme="minorHAnsi"/>
          <w:sz w:val="24"/>
          <w:szCs w:val="24"/>
        </w:rPr>
        <w:t xml:space="preserve"> exceeding the maximum concentration value</w:t>
      </w:r>
      <w:r w:rsidR="00442765">
        <w:rPr>
          <w:rFonts w:cstheme="minorHAnsi"/>
          <w:sz w:val="24"/>
          <w:szCs w:val="24"/>
        </w:rPr>
        <w:t>s</w:t>
      </w:r>
      <w:r w:rsidR="00810C8C" w:rsidRPr="00C66DF8">
        <w:rPr>
          <w:rFonts w:cstheme="minorHAnsi"/>
          <w:sz w:val="24"/>
          <w:szCs w:val="24"/>
        </w:rPr>
        <w:t xml:space="preserve"> (MCV</w:t>
      </w:r>
      <w:r w:rsidR="00442765">
        <w:rPr>
          <w:rFonts w:cstheme="minorHAnsi"/>
          <w:sz w:val="24"/>
          <w:szCs w:val="24"/>
        </w:rPr>
        <w:t>s</w:t>
      </w:r>
      <w:r w:rsidR="00810C8C" w:rsidRPr="00C66DF8">
        <w:rPr>
          <w:rFonts w:cstheme="minorHAnsi"/>
          <w:sz w:val="24"/>
          <w:szCs w:val="24"/>
        </w:rPr>
        <w:t xml:space="preserve">) listed </w:t>
      </w:r>
      <w:r w:rsidR="00DB0087" w:rsidRPr="00C66DF8">
        <w:rPr>
          <w:rFonts w:cstheme="minorHAnsi"/>
          <w:sz w:val="24"/>
          <w:szCs w:val="24"/>
        </w:rPr>
        <w:t>below</w:t>
      </w:r>
      <w:r w:rsidR="00442765">
        <w:rPr>
          <w:rFonts w:cstheme="minorHAnsi"/>
          <w:sz w:val="24"/>
          <w:szCs w:val="24"/>
        </w:rPr>
        <w:t>.</w:t>
      </w:r>
    </w:p>
    <w:p w14:paraId="14C5793C" w14:textId="77777777" w:rsidR="00E66835" w:rsidRPr="00E66835" w:rsidRDefault="00E66835" w:rsidP="00E66835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5090"/>
      </w:tblGrid>
      <w:tr w:rsidR="008F5ADF" w:rsidRPr="008C0241" w14:paraId="17EF40EF" w14:textId="77777777" w:rsidTr="00E66835">
        <w:trPr>
          <w:trHeight w:val="1350"/>
          <w:jc w:val="center"/>
        </w:trPr>
        <w:tc>
          <w:tcPr>
            <w:tcW w:w="4447" w:type="dxa"/>
          </w:tcPr>
          <w:p w14:paraId="4E576C15" w14:textId="6203A54D" w:rsidR="008F5ADF" w:rsidRPr="008C0241" w:rsidRDefault="006973C7" w:rsidP="002F0CF2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lastRenderedPageBreak/>
              <w:t>C</w:t>
            </w:r>
            <w:r w:rsidR="008F5ADF"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admium (0.01%)</w:t>
            </w:r>
          </w:p>
          <w:p w14:paraId="0ADA3FAB" w14:textId="535EB61D" w:rsidR="008F5ADF" w:rsidRPr="008C0241" w:rsidRDefault="006973C7" w:rsidP="008F5ADF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L</w:t>
            </w:r>
            <w:r w:rsidR="008F5ADF"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ead (0.1%)</w:t>
            </w:r>
          </w:p>
          <w:p w14:paraId="71C93505" w14:textId="2811551A" w:rsidR="008F5ADF" w:rsidRPr="008C0241" w:rsidRDefault="006973C7" w:rsidP="008F5ADF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M</w:t>
            </w:r>
            <w:r w:rsidR="008F5ADF"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ercury (0.1%)</w:t>
            </w:r>
          </w:p>
          <w:p w14:paraId="4F03FFF8" w14:textId="17687344" w:rsidR="008F5ADF" w:rsidRPr="008C0241" w:rsidRDefault="006973C7" w:rsidP="008F5ADF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H</w:t>
            </w:r>
            <w:r w:rsidR="008F5ADF"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exavalent chromium (0.1%)</w:t>
            </w:r>
          </w:p>
          <w:p w14:paraId="02A430BA" w14:textId="3E60B08B" w:rsidR="008F5ADF" w:rsidRPr="008C0241" w:rsidRDefault="006973C7" w:rsidP="008F5ADF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P</w:t>
            </w:r>
            <w:r w:rsidR="008F5ADF"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olybrominated biphenyls (0.1%)</w:t>
            </w:r>
          </w:p>
        </w:tc>
        <w:tc>
          <w:tcPr>
            <w:tcW w:w="5090" w:type="dxa"/>
          </w:tcPr>
          <w:p w14:paraId="414E2496" w14:textId="24378191" w:rsidR="008F5ADF" w:rsidRPr="008C0241" w:rsidRDefault="006973C7" w:rsidP="008F5ADF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P</w:t>
            </w:r>
            <w:r w:rsidR="008F5ADF"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olybrominated diphenyl ethers (0.1%)</w:t>
            </w:r>
          </w:p>
          <w:p w14:paraId="6DDE6867" w14:textId="4117EB06" w:rsidR="008F5ADF" w:rsidRPr="008C0241" w:rsidRDefault="006973C7" w:rsidP="008F5ADF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B</w:t>
            </w:r>
            <w:r w:rsidR="008F5ADF"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is(2-ethylhexyl) phthalate (0.1%)</w:t>
            </w:r>
          </w:p>
          <w:p w14:paraId="0858366D" w14:textId="10C1F7C0" w:rsidR="008F5ADF" w:rsidRPr="008C0241" w:rsidRDefault="006973C7" w:rsidP="008F5ADF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B</w:t>
            </w:r>
            <w:r w:rsidR="008F5ADF"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enzyl butyl phthalate (0.1%)</w:t>
            </w:r>
          </w:p>
          <w:p w14:paraId="3B2CA294" w14:textId="48E462A9" w:rsidR="008F5ADF" w:rsidRPr="008C0241" w:rsidRDefault="006973C7" w:rsidP="008F5ADF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D</w:t>
            </w:r>
            <w:r w:rsidR="008F5ADF"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ibutyl phthalate (0.1%)</w:t>
            </w:r>
          </w:p>
          <w:p w14:paraId="6FEDFC26" w14:textId="0ACF152D" w:rsidR="008F5ADF" w:rsidRPr="008C0241" w:rsidRDefault="00EE5E13" w:rsidP="000D5AB3">
            <w:pPr>
              <w:numPr>
                <w:ilvl w:val="0"/>
                <w:numId w:val="4"/>
              </w:numPr>
              <w:shd w:val="clear" w:color="auto" w:fill="FFFFFF"/>
              <w:ind w:left="1020"/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</w:pPr>
            <w:r w:rsidRPr="008C0241">
              <w:rPr>
                <w:rFonts w:eastAsia="Times New Roman" w:cstheme="minorHAnsi"/>
                <w:color w:val="0B0C0C"/>
                <w:kern w:val="0"/>
                <w:lang w:eastAsia="en-GB"/>
                <w14:ligatures w14:val="none"/>
              </w:rPr>
              <w:t>Diisobutyl phthalate (0.1%)</w:t>
            </w:r>
          </w:p>
        </w:tc>
      </w:tr>
    </w:tbl>
    <w:p w14:paraId="7752C32D" w14:textId="77777777" w:rsidR="00E66835" w:rsidRPr="005C79C1" w:rsidRDefault="00E66835" w:rsidP="002F160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719FF23" w14:textId="75A55258" w:rsidR="002F1601" w:rsidRPr="002F1601" w:rsidRDefault="00E66835" w:rsidP="002F1601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E66835">
        <w:rPr>
          <w:rFonts w:cstheme="minorHAnsi"/>
          <w:b/>
          <w:bCs/>
          <w:sz w:val="40"/>
          <w:szCs w:val="40"/>
        </w:rPr>
        <w:t>POTENTIAL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F1601" w:rsidRPr="002F1601">
        <w:rPr>
          <w:rFonts w:cstheme="minorHAnsi"/>
          <w:b/>
          <w:bCs/>
          <w:sz w:val="40"/>
          <w:szCs w:val="40"/>
        </w:rPr>
        <w:t>RoHS EXEMPTIONS</w:t>
      </w:r>
    </w:p>
    <w:p w14:paraId="46222DAA" w14:textId="6EE7459E" w:rsidR="002F1601" w:rsidRDefault="002F1601" w:rsidP="00C66DF8">
      <w:pPr>
        <w:spacing w:after="0"/>
        <w:rPr>
          <w:rFonts w:cstheme="minorHAnsi"/>
          <w:sz w:val="24"/>
          <w:szCs w:val="24"/>
        </w:rPr>
      </w:pPr>
    </w:p>
    <w:p w14:paraId="773ECAB5" w14:textId="0764128A" w:rsidR="0007513E" w:rsidRDefault="0007513E" w:rsidP="0007513E">
      <w:pPr>
        <w:spacing w:after="0"/>
        <w:rPr>
          <w:rFonts w:cstheme="minorHAnsi"/>
          <w:sz w:val="24"/>
          <w:szCs w:val="24"/>
        </w:rPr>
      </w:pPr>
      <w:r w:rsidRPr="0007513E">
        <w:rPr>
          <w:rFonts w:cstheme="minorHAnsi"/>
          <w:sz w:val="24"/>
          <w:szCs w:val="24"/>
        </w:rPr>
        <w:t>We reserve the right to use the following exemptions from Annex III</w:t>
      </w:r>
      <w:r w:rsidR="00D759DB">
        <w:rPr>
          <w:rFonts w:cstheme="minorHAnsi"/>
          <w:sz w:val="24"/>
          <w:szCs w:val="24"/>
        </w:rPr>
        <w:t>.</w:t>
      </w:r>
    </w:p>
    <w:p w14:paraId="35F88847" w14:textId="77777777" w:rsidR="00E66835" w:rsidRPr="0007513E" w:rsidRDefault="00E66835" w:rsidP="0007513E">
      <w:pPr>
        <w:spacing w:after="0"/>
        <w:rPr>
          <w:rFonts w:cstheme="minorHAnsi"/>
          <w:sz w:val="24"/>
          <w:szCs w:val="24"/>
        </w:rPr>
      </w:pPr>
    </w:p>
    <w:p w14:paraId="04DB40CF" w14:textId="77777777" w:rsidR="005C79C1" w:rsidRPr="005C79C1" w:rsidRDefault="005C79C1" w:rsidP="005C7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>#6(a)</w:t>
      </w:r>
      <w:r w:rsidRPr="005C79C1">
        <w:rPr>
          <w:rFonts w:cstheme="minorHAnsi"/>
          <w:sz w:val="24"/>
          <w:szCs w:val="24"/>
        </w:rPr>
        <w:t xml:space="preserve"> Lead as an alloying element in steel for machining purposes and in galvanised steel containing up to 0,35 % lead by weight</w:t>
      </w:r>
    </w:p>
    <w:p w14:paraId="6A51EB30" w14:textId="77777777" w:rsidR="005C79C1" w:rsidRPr="005C79C1" w:rsidRDefault="005C79C1" w:rsidP="005C7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>#6(a)-I</w:t>
      </w:r>
      <w:r w:rsidRPr="005C79C1">
        <w:rPr>
          <w:rFonts w:cstheme="minorHAnsi"/>
          <w:sz w:val="24"/>
          <w:szCs w:val="24"/>
        </w:rPr>
        <w:t xml:space="preserve"> Lead as an alloying element in steel for machining purposes containing up to 0.35 % lead by weight.</w:t>
      </w:r>
    </w:p>
    <w:p w14:paraId="63B86DCC" w14:textId="77777777" w:rsidR="005C79C1" w:rsidRPr="005C79C1" w:rsidRDefault="005C79C1" w:rsidP="005C7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>#6(b)</w:t>
      </w:r>
      <w:r w:rsidRPr="005C79C1">
        <w:rPr>
          <w:rFonts w:cstheme="minorHAnsi"/>
          <w:sz w:val="24"/>
          <w:szCs w:val="24"/>
        </w:rPr>
        <w:t xml:space="preserve"> Lead as an alloying element in aluminium containing up to 0.4 % lead by weight.</w:t>
      </w:r>
    </w:p>
    <w:p w14:paraId="6BDCE0E4" w14:textId="77777777" w:rsidR="005C79C1" w:rsidRPr="005C79C1" w:rsidRDefault="005C79C1" w:rsidP="005C7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 xml:space="preserve">#6(b)-II </w:t>
      </w:r>
      <w:r w:rsidRPr="005C79C1">
        <w:rPr>
          <w:rFonts w:cstheme="minorHAnsi"/>
          <w:sz w:val="24"/>
          <w:szCs w:val="24"/>
        </w:rPr>
        <w:t xml:space="preserve"> Lead as an alloying element in aluminium for machining purposes with a lead content up to 0,4 % by weight.</w:t>
      </w:r>
    </w:p>
    <w:p w14:paraId="13AC6A11" w14:textId="77777777" w:rsidR="005C79C1" w:rsidRPr="005C79C1" w:rsidRDefault="005C79C1" w:rsidP="005C7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>#6(c)</w:t>
      </w:r>
      <w:r w:rsidRPr="005C79C1">
        <w:rPr>
          <w:rFonts w:cstheme="minorHAnsi"/>
          <w:sz w:val="24"/>
          <w:szCs w:val="24"/>
        </w:rPr>
        <w:t xml:space="preserve"> Copper alloy containing up to 4% lead by weight.</w:t>
      </w:r>
    </w:p>
    <w:p w14:paraId="586DBC8E" w14:textId="77777777" w:rsidR="005C79C1" w:rsidRPr="005C79C1" w:rsidRDefault="005C79C1" w:rsidP="005C7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>#7(a)</w:t>
      </w:r>
      <w:r w:rsidRPr="005C79C1">
        <w:rPr>
          <w:rFonts w:cstheme="minorHAnsi"/>
          <w:sz w:val="24"/>
          <w:szCs w:val="24"/>
        </w:rPr>
        <w:t xml:space="preserve"> Lead in high melting temperature type solders (i.e. lead-based alloys containing 85 % by weight or more lead).</w:t>
      </w:r>
    </w:p>
    <w:p w14:paraId="2129D33E" w14:textId="77777777" w:rsidR="005C79C1" w:rsidRPr="005C79C1" w:rsidRDefault="005C79C1" w:rsidP="005C7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 xml:space="preserve">#7(a)-I </w:t>
      </w:r>
      <w:r w:rsidRPr="005C79C1">
        <w:rPr>
          <w:sz w:val="24"/>
          <w:szCs w:val="24"/>
        </w:rPr>
        <w:t>Lead in high melting temperature type solders (i.e. lead-based alloys containing 85 % by weight or more lead). For internal interconnections for attaching die, or other components along with a die in semiconductor assembly with steady state or transient/impulse currents of 0,1 A or greater or blocking voltages beyond 10 V, or die edge sizes larger than 0,3 mm × 0,3 mm.</w:t>
      </w:r>
    </w:p>
    <w:p w14:paraId="5C99A8E5" w14:textId="77777777" w:rsidR="005C79C1" w:rsidRPr="005C79C1" w:rsidRDefault="005C79C1" w:rsidP="005C7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>#7(c)–I</w:t>
      </w:r>
      <w:r w:rsidRPr="005C79C1">
        <w:rPr>
          <w:rFonts w:cstheme="minorHAnsi"/>
          <w:sz w:val="24"/>
          <w:szCs w:val="24"/>
        </w:rPr>
        <w:t xml:space="preserve"> Electrical and electronic components containing lead in a glass or ceramic other than dielectric ceramic in capacitors (piezoelectronic devices) or in a glass or ceramic matrix compound.</w:t>
      </w:r>
    </w:p>
    <w:p w14:paraId="0DF13BF3" w14:textId="77777777" w:rsidR="005C79C1" w:rsidRPr="005C79C1" w:rsidRDefault="005C79C1" w:rsidP="005C7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>#7(c)-V  </w:t>
      </w:r>
      <w:r w:rsidRPr="005C79C1">
        <w:rPr>
          <w:rFonts w:cstheme="minorHAnsi"/>
          <w:sz w:val="24"/>
          <w:szCs w:val="24"/>
        </w:rPr>
        <w:t xml:space="preserve">Electrical and electronic components containing lead in a glass or glass matrix compound that fulfils any of the following functions: (1) for protection and electrical insulation in glass beads of high-voltage diodes and glass layers for wafers; (2) for hermetic sealing between ceramic, metal and/or glass parts; (3) for bonding purposes in a process parameter window for &lt; 500 °C combined with a viscosity of 1 013,3 </w:t>
      </w:r>
      <w:proofErr w:type="spellStart"/>
      <w:r w:rsidRPr="005C79C1">
        <w:rPr>
          <w:rFonts w:cstheme="minorHAnsi"/>
          <w:sz w:val="24"/>
          <w:szCs w:val="24"/>
        </w:rPr>
        <w:t>dPas</w:t>
      </w:r>
      <w:proofErr w:type="spellEnd"/>
      <w:r w:rsidRPr="005C79C1">
        <w:rPr>
          <w:rFonts w:cstheme="minorHAnsi"/>
          <w:sz w:val="24"/>
          <w:szCs w:val="24"/>
        </w:rPr>
        <w:t xml:space="preserve"> (‘glass-transition temperature’); (4) for use as a resistive material such as ink, with a resistivity range from 1 ohm/square to 100 megohm/square, excluding trimmer potentiometers; (5) for use in chemically modified glass surfaces for microchannel plates (MCPs), channel electron multipliers (CEMs) and resistive glass products (RGPs).</w:t>
      </w:r>
    </w:p>
    <w:p w14:paraId="7A959C2F" w14:textId="77777777" w:rsidR="005C79C1" w:rsidRPr="005C79C1" w:rsidRDefault="005C79C1" w:rsidP="005C79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 xml:space="preserve">#8(b) </w:t>
      </w:r>
      <w:r w:rsidRPr="005C79C1">
        <w:rPr>
          <w:rFonts w:cstheme="minorHAnsi"/>
          <w:sz w:val="24"/>
          <w:szCs w:val="24"/>
        </w:rPr>
        <w:t>Cadmium and its compounds in electrical contacts.</w:t>
      </w:r>
    </w:p>
    <w:p w14:paraId="76214C7C" w14:textId="2911ABBF" w:rsidR="002F1601" w:rsidRPr="005C79C1" w:rsidRDefault="005C79C1" w:rsidP="005C79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5C79C1">
        <w:rPr>
          <w:rFonts w:cstheme="minorHAnsi"/>
          <w:b/>
          <w:bCs/>
          <w:sz w:val="24"/>
          <w:szCs w:val="24"/>
        </w:rPr>
        <w:t>#34</w:t>
      </w:r>
      <w:r w:rsidRPr="005C79C1">
        <w:rPr>
          <w:rFonts w:cstheme="minorHAnsi"/>
          <w:sz w:val="24"/>
          <w:szCs w:val="24"/>
        </w:rPr>
        <w:t xml:space="preserve"> Lead in cermet-based trimmer potentiometer elements.</w:t>
      </w:r>
    </w:p>
    <w:p w14:paraId="6DC63419" w14:textId="77777777" w:rsidR="005C79C1" w:rsidRPr="005C79C1" w:rsidRDefault="005C79C1" w:rsidP="005C79C1">
      <w:pPr>
        <w:spacing w:after="0" w:line="276" w:lineRule="auto"/>
        <w:rPr>
          <w:rFonts w:cstheme="minorHAnsi"/>
          <w:sz w:val="24"/>
          <w:szCs w:val="24"/>
        </w:rPr>
      </w:pPr>
    </w:p>
    <w:p w14:paraId="08BB040A" w14:textId="09969F52" w:rsidR="005C79C1" w:rsidRPr="005C79C1" w:rsidRDefault="002F1601" w:rsidP="005C79C1">
      <w:pPr>
        <w:spacing w:after="0"/>
        <w:rPr>
          <w:rFonts w:cstheme="minorHAnsi"/>
          <w:sz w:val="24"/>
          <w:szCs w:val="24"/>
        </w:rPr>
      </w:pPr>
      <w:r w:rsidRPr="002F1601">
        <w:rPr>
          <w:rFonts w:cstheme="minorHAnsi"/>
          <w:b/>
          <w:bCs/>
          <w:sz w:val="24"/>
          <w:szCs w:val="24"/>
        </w:rPr>
        <w:t>Note:</w:t>
      </w:r>
      <w:r w:rsidRPr="002F1601">
        <w:rPr>
          <w:rFonts w:cstheme="minorHAnsi"/>
          <w:sz w:val="24"/>
          <w:szCs w:val="24"/>
        </w:rPr>
        <w:t xml:space="preserve"> </w:t>
      </w:r>
      <w:r w:rsidR="00B34DF2">
        <w:rPr>
          <w:rFonts w:cstheme="minorHAnsi"/>
          <w:sz w:val="24"/>
          <w:szCs w:val="24"/>
        </w:rPr>
        <w:t>The e</w:t>
      </w:r>
      <w:r w:rsidRPr="002F1601">
        <w:rPr>
          <w:rFonts w:cstheme="minorHAnsi"/>
          <w:sz w:val="24"/>
          <w:szCs w:val="24"/>
        </w:rPr>
        <w:t>xemptions listed herein may not apply to all products. Applicability is determined by product type, material usage, and regulatory scope</w:t>
      </w:r>
      <w:r>
        <w:rPr>
          <w:rFonts w:cstheme="minorHAnsi"/>
          <w:sz w:val="24"/>
          <w:szCs w:val="24"/>
        </w:rPr>
        <w:t xml:space="preserve">. </w:t>
      </w:r>
      <w:r w:rsidRPr="002F1601">
        <w:rPr>
          <w:rFonts w:cstheme="minorHAnsi"/>
          <w:sz w:val="24"/>
          <w:szCs w:val="24"/>
        </w:rPr>
        <w:t>Specific exemption details are available upon request.</w:t>
      </w:r>
    </w:p>
    <w:p w14:paraId="61CBC5DC" w14:textId="7B49F3A4" w:rsidR="00E66835" w:rsidRDefault="00E66835" w:rsidP="00E66835">
      <w:pPr>
        <w:spacing w:after="0"/>
        <w:rPr>
          <w:rFonts w:cstheme="minorHAnsi"/>
          <w:sz w:val="24"/>
          <w:szCs w:val="24"/>
        </w:rPr>
      </w:pPr>
      <w:r w:rsidRPr="00C66DF8">
        <w:rPr>
          <w:rFonts w:cstheme="minorHAnsi"/>
          <w:sz w:val="24"/>
          <w:szCs w:val="24"/>
        </w:rPr>
        <w:t xml:space="preserve">Pickering </w:t>
      </w:r>
      <w:r>
        <w:rPr>
          <w:rFonts w:cstheme="minorHAnsi"/>
          <w:sz w:val="24"/>
          <w:szCs w:val="24"/>
        </w:rPr>
        <w:t>Group</w:t>
      </w:r>
      <w:r w:rsidRPr="00C66DF8">
        <w:rPr>
          <w:rFonts w:cstheme="minorHAnsi"/>
          <w:sz w:val="24"/>
          <w:szCs w:val="24"/>
        </w:rPr>
        <w:t xml:space="preserve"> can provide a RoHS </w:t>
      </w:r>
      <w:r>
        <w:rPr>
          <w:rFonts w:cstheme="minorHAnsi"/>
          <w:sz w:val="24"/>
          <w:szCs w:val="24"/>
        </w:rPr>
        <w:t>declaration</w:t>
      </w:r>
      <w:r w:rsidRPr="00C66DF8">
        <w:rPr>
          <w:rFonts w:cstheme="minorHAnsi"/>
          <w:sz w:val="24"/>
          <w:szCs w:val="24"/>
        </w:rPr>
        <w:t xml:space="preserve"> upon request for specific part numbe</w:t>
      </w:r>
      <w:r>
        <w:rPr>
          <w:rFonts w:cstheme="minorHAnsi"/>
          <w:sz w:val="24"/>
          <w:szCs w:val="24"/>
        </w:rPr>
        <w:t>rs.</w:t>
      </w:r>
    </w:p>
    <w:p w14:paraId="3F8FAB97" w14:textId="77777777" w:rsidR="005C79C1" w:rsidRPr="005C79C1" w:rsidRDefault="005C79C1" w:rsidP="00E66835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245"/>
      </w:tblGrid>
      <w:tr w:rsidR="00E66835" w:rsidRPr="00DF3E9F" w14:paraId="362C5A98" w14:textId="77777777" w:rsidTr="007114CF">
        <w:trPr>
          <w:jc w:val="center"/>
        </w:trPr>
        <w:tc>
          <w:tcPr>
            <w:tcW w:w="4531" w:type="dxa"/>
          </w:tcPr>
          <w:p w14:paraId="617269E1" w14:textId="77777777" w:rsidR="00E66835" w:rsidRPr="00DF3E9F" w:rsidRDefault="00E66835" w:rsidP="007114CF">
            <w:pPr>
              <w:spacing w:before="100" w:beforeAutospacing="1"/>
              <w:jc w:val="center"/>
            </w:pPr>
            <w:r w:rsidRPr="00DF3E9F">
              <w:t>For Pickering Electronics</w:t>
            </w:r>
            <w:r>
              <w:t>,</w:t>
            </w:r>
            <w:r w:rsidRPr="00DF3E9F">
              <w:t xml:space="preserve"> please contact:-</w:t>
            </w:r>
          </w:p>
        </w:tc>
        <w:tc>
          <w:tcPr>
            <w:tcW w:w="5245" w:type="dxa"/>
          </w:tcPr>
          <w:p w14:paraId="7D54B839" w14:textId="77777777" w:rsidR="00E66835" w:rsidRPr="00DF3E9F" w:rsidRDefault="00E66835" w:rsidP="007114CF">
            <w:pPr>
              <w:spacing w:before="100" w:beforeAutospacing="1"/>
              <w:jc w:val="center"/>
            </w:pPr>
            <w:r w:rsidRPr="00DF3E9F">
              <w:rPr>
                <w:rFonts w:cstheme="minorHAnsi"/>
              </w:rPr>
              <w:t>For Pickering Interfaces</w:t>
            </w:r>
            <w:r>
              <w:rPr>
                <w:rFonts w:cstheme="minorHAnsi"/>
              </w:rPr>
              <w:t xml:space="preserve"> and Pickering Connect,</w:t>
            </w:r>
            <w:r w:rsidRPr="00DF3E9F">
              <w:rPr>
                <w:rFonts w:cstheme="minorHAnsi"/>
              </w:rPr>
              <w:t xml:space="preserve"> please contact:-</w:t>
            </w:r>
          </w:p>
        </w:tc>
      </w:tr>
      <w:tr w:rsidR="00E66835" w:rsidRPr="00DF3E9F" w14:paraId="16456BA6" w14:textId="77777777" w:rsidTr="007114CF">
        <w:trPr>
          <w:trHeight w:val="340"/>
          <w:jc w:val="center"/>
        </w:trPr>
        <w:tc>
          <w:tcPr>
            <w:tcW w:w="4531" w:type="dxa"/>
          </w:tcPr>
          <w:p w14:paraId="5E9C44AC" w14:textId="77777777" w:rsidR="00E66835" w:rsidRPr="00DF3E9F" w:rsidRDefault="00E66835" w:rsidP="007114CF">
            <w:pPr>
              <w:spacing w:before="100" w:beforeAutospacing="1"/>
              <w:jc w:val="center"/>
            </w:pPr>
            <w:hyperlink r:id="rId10" w:history="1">
              <w:r w:rsidRPr="00DF3E9F">
                <w:rPr>
                  <w:rStyle w:val="Hyperlink"/>
                </w:rPr>
                <w:t>quality@pickeringrelay.com</w:t>
              </w:r>
            </w:hyperlink>
          </w:p>
        </w:tc>
        <w:tc>
          <w:tcPr>
            <w:tcW w:w="5245" w:type="dxa"/>
          </w:tcPr>
          <w:p w14:paraId="2C0350F4" w14:textId="77777777" w:rsidR="00E66835" w:rsidRPr="00DF3E9F" w:rsidRDefault="00E66835" w:rsidP="007114CF">
            <w:pPr>
              <w:spacing w:before="100" w:beforeAutospacing="1"/>
              <w:jc w:val="center"/>
            </w:pPr>
            <w:hyperlink r:id="rId11" w:history="1">
              <w:r w:rsidRPr="00DF3E9F">
                <w:rPr>
                  <w:rStyle w:val="Hyperlink"/>
                  <w:rFonts w:cstheme="minorHAnsi"/>
                </w:rPr>
                <w:t>quality@pickeringtest.com</w:t>
              </w:r>
            </w:hyperlink>
          </w:p>
        </w:tc>
      </w:tr>
    </w:tbl>
    <w:p w14:paraId="682A497B" w14:textId="77777777" w:rsidR="005C79C1" w:rsidRPr="002F1601" w:rsidRDefault="005C79C1" w:rsidP="002F1601">
      <w:pPr>
        <w:rPr>
          <w:rFonts w:cstheme="minorHAnsi"/>
          <w:sz w:val="24"/>
          <w:szCs w:val="24"/>
        </w:rPr>
      </w:pPr>
    </w:p>
    <w:sectPr w:rsidR="005C79C1" w:rsidRPr="002F1601" w:rsidSect="005C79C1">
      <w:headerReference w:type="default" r:id="rId12"/>
      <w:footerReference w:type="default" r:id="rId13"/>
      <w:pgSz w:w="11906" w:h="16838"/>
      <w:pgMar w:top="284" w:right="284" w:bottom="284" w:left="28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4570" w14:textId="77777777" w:rsidR="00B30C17" w:rsidRDefault="00B30C17" w:rsidP="008F5ADF">
      <w:pPr>
        <w:spacing w:after="0" w:line="240" w:lineRule="auto"/>
      </w:pPr>
      <w:r>
        <w:separator/>
      </w:r>
    </w:p>
  </w:endnote>
  <w:endnote w:type="continuationSeparator" w:id="0">
    <w:p w14:paraId="143C0A5A" w14:textId="77777777" w:rsidR="00B30C17" w:rsidRDefault="00B30C17" w:rsidP="008F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AAB5" w14:textId="77777777" w:rsidR="004E4252" w:rsidRDefault="004E4252" w:rsidP="002F0CF2">
    <w:pPr>
      <w:pStyle w:val="Footer"/>
    </w:pPr>
  </w:p>
  <w:p w14:paraId="29617FC1" w14:textId="3BE2A4C1" w:rsidR="002F0CF2" w:rsidRPr="004E4252" w:rsidRDefault="002F0CF2" w:rsidP="00E66835">
    <w:pPr>
      <w:pStyle w:val="Footer"/>
    </w:pPr>
    <w:r w:rsidRPr="002F0CF2">
      <w:t>QMS 424</w:t>
    </w:r>
    <w:r w:rsidR="00E66835">
      <w:t xml:space="preserve"> </w:t>
    </w:r>
    <w:r w:rsidR="002D1A30">
      <w:t>11</w:t>
    </w:r>
    <w:r w:rsidR="00E66835">
      <w:t>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17C2" w14:textId="77777777" w:rsidR="00B30C17" w:rsidRDefault="00B30C17" w:rsidP="008F5ADF">
      <w:pPr>
        <w:spacing w:after="0" w:line="240" w:lineRule="auto"/>
      </w:pPr>
      <w:r>
        <w:separator/>
      </w:r>
    </w:p>
  </w:footnote>
  <w:footnote w:type="continuationSeparator" w:id="0">
    <w:p w14:paraId="10D2EED4" w14:textId="77777777" w:rsidR="00B30C17" w:rsidRDefault="00B30C17" w:rsidP="008F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65E8" w14:textId="77777777" w:rsidR="00D932E6" w:rsidRDefault="00D932E6">
    <w:pPr>
      <w:pStyle w:val="Header"/>
    </w:pPr>
  </w:p>
  <w:p w14:paraId="62F9AE8D" w14:textId="77777777" w:rsidR="00D932E6" w:rsidRDefault="00D9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F0F"/>
    <w:multiLevelType w:val="hybridMultilevel"/>
    <w:tmpl w:val="1820043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BD1D0B"/>
    <w:multiLevelType w:val="hybridMultilevel"/>
    <w:tmpl w:val="46D61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873"/>
    <w:multiLevelType w:val="multilevel"/>
    <w:tmpl w:val="540E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B4109"/>
    <w:multiLevelType w:val="hybridMultilevel"/>
    <w:tmpl w:val="55A8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C3762"/>
    <w:multiLevelType w:val="multilevel"/>
    <w:tmpl w:val="C5A8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FC3984"/>
    <w:multiLevelType w:val="multilevel"/>
    <w:tmpl w:val="8E64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3D4589"/>
    <w:multiLevelType w:val="hybridMultilevel"/>
    <w:tmpl w:val="00A4F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26C0F"/>
    <w:multiLevelType w:val="hybridMultilevel"/>
    <w:tmpl w:val="A61AB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00479"/>
    <w:multiLevelType w:val="hybridMultilevel"/>
    <w:tmpl w:val="18E67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22553"/>
    <w:multiLevelType w:val="multilevel"/>
    <w:tmpl w:val="245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496966">
    <w:abstractNumId w:val="7"/>
  </w:num>
  <w:num w:numId="2" w16cid:durableId="827013703">
    <w:abstractNumId w:val="1"/>
  </w:num>
  <w:num w:numId="3" w16cid:durableId="2024890307">
    <w:abstractNumId w:val="9"/>
  </w:num>
  <w:num w:numId="4" w16cid:durableId="84809211">
    <w:abstractNumId w:val="4"/>
  </w:num>
  <w:num w:numId="5" w16cid:durableId="1419670223">
    <w:abstractNumId w:val="5"/>
  </w:num>
  <w:num w:numId="6" w16cid:durableId="426464848">
    <w:abstractNumId w:val="0"/>
  </w:num>
  <w:num w:numId="7" w16cid:durableId="632365243">
    <w:abstractNumId w:val="2"/>
  </w:num>
  <w:num w:numId="8" w16cid:durableId="1556156608">
    <w:abstractNumId w:val="8"/>
  </w:num>
  <w:num w:numId="9" w16cid:durableId="391471094">
    <w:abstractNumId w:val="3"/>
  </w:num>
  <w:num w:numId="10" w16cid:durableId="886836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8C"/>
    <w:rsid w:val="0002325E"/>
    <w:rsid w:val="0007513E"/>
    <w:rsid w:val="0008591E"/>
    <w:rsid w:val="000D5AB3"/>
    <w:rsid w:val="000D66C8"/>
    <w:rsid w:val="001430FC"/>
    <w:rsid w:val="001B598E"/>
    <w:rsid w:val="001C7F86"/>
    <w:rsid w:val="001D5F76"/>
    <w:rsid w:val="002645A6"/>
    <w:rsid w:val="002B28A7"/>
    <w:rsid w:val="002D1A30"/>
    <w:rsid w:val="002D2A61"/>
    <w:rsid w:val="002E7834"/>
    <w:rsid w:val="002F0CF2"/>
    <w:rsid w:val="002F1601"/>
    <w:rsid w:val="003273F6"/>
    <w:rsid w:val="00363851"/>
    <w:rsid w:val="00371A5C"/>
    <w:rsid w:val="00383521"/>
    <w:rsid w:val="00442765"/>
    <w:rsid w:val="004A39A4"/>
    <w:rsid w:val="004E4252"/>
    <w:rsid w:val="0051055D"/>
    <w:rsid w:val="005438F7"/>
    <w:rsid w:val="00547572"/>
    <w:rsid w:val="005C6787"/>
    <w:rsid w:val="005C79C1"/>
    <w:rsid w:val="005F0F89"/>
    <w:rsid w:val="0063258F"/>
    <w:rsid w:val="0066128A"/>
    <w:rsid w:val="00691B99"/>
    <w:rsid w:val="006973C7"/>
    <w:rsid w:val="006A75CB"/>
    <w:rsid w:val="006D69F0"/>
    <w:rsid w:val="006F431B"/>
    <w:rsid w:val="00713682"/>
    <w:rsid w:val="00726C5D"/>
    <w:rsid w:val="00736F54"/>
    <w:rsid w:val="007667F6"/>
    <w:rsid w:val="007A036C"/>
    <w:rsid w:val="007B2730"/>
    <w:rsid w:val="007D3DF9"/>
    <w:rsid w:val="007E6A92"/>
    <w:rsid w:val="00810C8C"/>
    <w:rsid w:val="0083068F"/>
    <w:rsid w:val="00851716"/>
    <w:rsid w:val="008541C6"/>
    <w:rsid w:val="008633C8"/>
    <w:rsid w:val="00865530"/>
    <w:rsid w:val="00867F34"/>
    <w:rsid w:val="0088080D"/>
    <w:rsid w:val="008A74FC"/>
    <w:rsid w:val="008C0241"/>
    <w:rsid w:val="008F5ADF"/>
    <w:rsid w:val="00917901"/>
    <w:rsid w:val="00956478"/>
    <w:rsid w:val="00981C39"/>
    <w:rsid w:val="009C0E80"/>
    <w:rsid w:val="009F17D7"/>
    <w:rsid w:val="00A11064"/>
    <w:rsid w:val="00A62578"/>
    <w:rsid w:val="00A87721"/>
    <w:rsid w:val="00AF3B5E"/>
    <w:rsid w:val="00B15F20"/>
    <w:rsid w:val="00B3025C"/>
    <w:rsid w:val="00B30C17"/>
    <w:rsid w:val="00B34DF2"/>
    <w:rsid w:val="00B60A72"/>
    <w:rsid w:val="00BE535B"/>
    <w:rsid w:val="00BF4B0A"/>
    <w:rsid w:val="00C618D1"/>
    <w:rsid w:val="00C66DF8"/>
    <w:rsid w:val="00C7447F"/>
    <w:rsid w:val="00CA598D"/>
    <w:rsid w:val="00CC5806"/>
    <w:rsid w:val="00D245EF"/>
    <w:rsid w:val="00D759DB"/>
    <w:rsid w:val="00D76276"/>
    <w:rsid w:val="00D932E6"/>
    <w:rsid w:val="00D952FD"/>
    <w:rsid w:val="00DA6EC4"/>
    <w:rsid w:val="00DB0087"/>
    <w:rsid w:val="00DC265F"/>
    <w:rsid w:val="00DE51B1"/>
    <w:rsid w:val="00E5434A"/>
    <w:rsid w:val="00E66835"/>
    <w:rsid w:val="00E93A1D"/>
    <w:rsid w:val="00EC2E36"/>
    <w:rsid w:val="00EE5E13"/>
    <w:rsid w:val="00EF37A1"/>
    <w:rsid w:val="00F121F8"/>
    <w:rsid w:val="00F47F69"/>
    <w:rsid w:val="00F559CE"/>
    <w:rsid w:val="00FD2B16"/>
    <w:rsid w:val="00FE0A92"/>
    <w:rsid w:val="00FE4C8C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E423D"/>
  <w15:chartTrackingRefBased/>
  <w15:docId w15:val="{51F69200-EFEE-4919-BD5C-F3B5AEAE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633C8"/>
    <w:rPr>
      <w:color w:val="0000FF"/>
      <w:u w:val="single"/>
    </w:rPr>
  </w:style>
  <w:style w:type="table" w:styleId="TableGrid">
    <w:name w:val="Table Grid"/>
    <w:basedOn w:val="TableNormal"/>
    <w:uiPriority w:val="39"/>
    <w:rsid w:val="009F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F34"/>
    <w:pPr>
      <w:ind w:left="720"/>
      <w:contextualSpacing/>
    </w:pPr>
  </w:style>
  <w:style w:type="character" w:customStyle="1" w:styleId="ui-provider">
    <w:name w:val="ui-provider"/>
    <w:basedOn w:val="DefaultParagraphFont"/>
    <w:rsid w:val="00867F34"/>
  </w:style>
  <w:style w:type="character" w:styleId="UnresolvedMention">
    <w:name w:val="Unresolved Mention"/>
    <w:basedOn w:val="DefaultParagraphFont"/>
    <w:uiPriority w:val="99"/>
    <w:semiHidden/>
    <w:unhideWhenUsed/>
    <w:rsid w:val="00DB0087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DB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ADF"/>
  </w:style>
  <w:style w:type="paragraph" w:styleId="Footer">
    <w:name w:val="footer"/>
    <w:basedOn w:val="Normal"/>
    <w:link w:val="FooterChar"/>
    <w:uiPriority w:val="99"/>
    <w:unhideWhenUsed/>
    <w:rsid w:val="008F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legislation-profile/-/legislationprofile/EU-ROH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uality@pickeringtes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quality@pickeringrela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rohs-compliance-and-guid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4806</Characters>
  <Application>Microsoft Office Word</Application>
  <DocSecurity>0</DocSecurity>
  <Lines>106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Offord</dc:creator>
  <cp:keywords/>
  <dc:description/>
  <cp:lastModifiedBy>Matthew Sales</cp:lastModifiedBy>
  <cp:revision>2</cp:revision>
  <cp:lastPrinted>2026-03-23T10:57:00Z</cp:lastPrinted>
  <dcterms:created xsi:type="dcterms:W3CDTF">2026-04-28T08:59:00Z</dcterms:created>
  <dcterms:modified xsi:type="dcterms:W3CDTF">2026-04-28T08:59:00Z</dcterms:modified>
</cp:coreProperties>
</file>